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92" w:rsidRDefault="0021522B">
      <w:r w:rsidRPr="0021522B">
        <w:rPr>
          <w:highlight w:val="cyan"/>
        </w:rPr>
        <w:t>… su autocertificazioni e dichiarazioni sostitutive</w:t>
      </w:r>
      <w:r>
        <w:t xml:space="preserve"> </w:t>
      </w:r>
    </w:p>
    <w:p w:rsidR="00D02569" w:rsidRDefault="00D02569" w:rsidP="00D0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>
        <w:t xml:space="preserve">DPR N. 445/2000 </w:t>
      </w:r>
    </w:p>
    <w:p w:rsidR="00D02569" w:rsidRPr="00D02569" w:rsidRDefault="00D02569" w:rsidP="00D02569">
      <w:pPr>
        <w:jc w:val="center"/>
        <w:rPr>
          <w:i/>
        </w:rPr>
      </w:pPr>
      <w:r w:rsidRPr="00D02569">
        <w:rPr>
          <w:i/>
        </w:rPr>
        <w:t>(Estratto)</w:t>
      </w:r>
    </w:p>
    <w:p w:rsidR="0021522B" w:rsidRDefault="0021522B" w:rsidP="0021522B">
      <w:pPr>
        <w:pStyle w:val="NormaleWeb"/>
        <w:shd w:val="clear" w:color="auto" w:fill="F5FDFE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SEZIONE V - NORME IN MATERIA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DICHIARAZIONI SOSTITUTIVE</w:t>
      </w:r>
    </w:p>
    <w:p w:rsidR="0021522B" w:rsidRDefault="0021522B" w:rsidP="0021522B">
      <w:pPr>
        <w:pStyle w:val="NormaleWeb"/>
        <w:shd w:val="clear" w:color="auto" w:fill="F5FDFE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0" w:name="46"/>
      <w:r>
        <w:rPr>
          <w:rFonts w:ascii="Calibri" w:hAnsi="Calibri" w:cs="Calibri"/>
          <w:b/>
          <w:bCs/>
          <w:color w:val="000000"/>
          <w:sz w:val="20"/>
          <w:szCs w:val="20"/>
        </w:rPr>
        <w:t>Art. 46 (R) Dichiarazioni sostitutive di certificazioni</w:t>
      </w:r>
      <w:bookmarkEnd w:id="0"/>
    </w:p>
    <w:p w:rsidR="0021522B" w:rsidRDefault="0021522B" w:rsidP="0021522B">
      <w:pPr>
        <w:pStyle w:val="NormaleWeb"/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>1. Sono comprovati con dichiarazioni, anche contestuali all'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istanza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 sottoscritte dall'interessato e prodotte in sostituzione delle normali certificazioni i seguenti stati, qualità personali e fatti:</w:t>
      </w:r>
    </w:p>
    <w:p w:rsidR="0021522B" w:rsidRDefault="0021522B" w:rsidP="0021522B">
      <w:pPr>
        <w:pStyle w:val="NormaleWeb"/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>a) data e il luogo di nascita;</w:t>
      </w:r>
      <w:r>
        <w:rPr>
          <w:rFonts w:ascii="Calibri" w:hAnsi="Calibri" w:cs="Calibri"/>
          <w:color w:val="000000"/>
          <w:sz w:val="20"/>
          <w:szCs w:val="20"/>
        </w:rPr>
        <w:br/>
        <w:t>b) residenza;</w:t>
      </w:r>
      <w:r>
        <w:rPr>
          <w:rFonts w:ascii="Calibri" w:hAnsi="Calibri" w:cs="Calibri"/>
          <w:color w:val="000000"/>
          <w:sz w:val="20"/>
          <w:szCs w:val="20"/>
        </w:rPr>
        <w:br/>
        <w:t>c) cittadinanza;</w:t>
      </w:r>
      <w:r>
        <w:rPr>
          <w:rFonts w:ascii="Calibri" w:hAnsi="Calibri" w:cs="Calibri"/>
          <w:color w:val="000000"/>
          <w:sz w:val="20"/>
          <w:szCs w:val="20"/>
        </w:rPr>
        <w:br/>
        <w:t>d) godimento dei diritti civili e politici;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e) stato di celibe, coniugato, vedovo 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stato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libero;</w:t>
      </w:r>
      <w:r>
        <w:rPr>
          <w:rFonts w:ascii="Calibri" w:hAnsi="Calibri" w:cs="Calibri"/>
          <w:color w:val="000000"/>
          <w:sz w:val="20"/>
          <w:szCs w:val="20"/>
        </w:rPr>
        <w:br/>
        <w:t>f) stato di famiglia;</w:t>
      </w:r>
      <w:r>
        <w:rPr>
          <w:rFonts w:ascii="Calibri" w:hAnsi="Calibri" w:cs="Calibri"/>
          <w:color w:val="000000"/>
          <w:sz w:val="20"/>
          <w:szCs w:val="20"/>
        </w:rPr>
        <w:br/>
        <w:t>g) esistenza in vita;</w:t>
      </w:r>
      <w:r>
        <w:rPr>
          <w:rFonts w:ascii="Calibri" w:hAnsi="Calibri" w:cs="Calibri"/>
          <w:color w:val="000000"/>
          <w:sz w:val="20"/>
          <w:szCs w:val="20"/>
        </w:rPr>
        <w:br/>
        <w:t>h) nascita del figlio, decesso del coniuge, dell'ascendente o discendente;</w:t>
      </w:r>
      <w:r>
        <w:rPr>
          <w:rFonts w:ascii="Calibri" w:hAnsi="Calibri" w:cs="Calibri"/>
          <w:color w:val="000000"/>
          <w:sz w:val="20"/>
          <w:szCs w:val="20"/>
        </w:rPr>
        <w:br/>
        <w:t>i) iscrizione in albi, registri o elenchi tenuti da pubbliche amministrazioni;</w:t>
      </w:r>
      <w:r>
        <w:rPr>
          <w:rFonts w:ascii="Calibri" w:hAnsi="Calibri" w:cs="Calibri"/>
          <w:color w:val="000000"/>
          <w:sz w:val="20"/>
          <w:szCs w:val="20"/>
        </w:rPr>
        <w:br/>
        <w:t>l) appartenenza a ordini professionali;</w:t>
      </w:r>
      <w:r>
        <w:rPr>
          <w:rFonts w:ascii="Calibri" w:hAnsi="Calibri" w:cs="Calibri"/>
          <w:color w:val="000000"/>
          <w:sz w:val="20"/>
          <w:szCs w:val="20"/>
        </w:rPr>
        <w:br/>
        <w:t>m) titolo di studio, esami sostenuti;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n) qualifica professionale posseduta, titolo di specializzazione, di abilitazione, di formazione, di aggiornamento e di qualificazione tecnica;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o) situazione reddituale o economica anche ai fini della concessione dei benefici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qualsiasi tipo previsti da leggi speciali;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p) assolvimento di specifici obblighi contributivi con l'indicazione dell'ammontare corrisposto;</w:t>
      </w:r>
      <w:r>
        <w:rPr>
          <w:rFonts w:ascii="Calibri" w:hAnsi="Calibri" w:cs="Calibri"/>
          <w:color w:val="000000"/>
          <w:sz w:val="20"/>
          <w:szCs w:val="20"/>
        </w:rPr>
        <w:br/>
        <w:t>q) possesso e numero del codice fiscale, della partita IVA e di qualsiasi dato presente nell'archivio dell'anagrafe tributaria;</w:t>
      </w:r>
      <w:r>
        <w:rPr>
          <w:rFonts w:ascii="Calibri" w:hAnsi="Calibri" w:cs="Calibri"/>
          <w:color w:val="000000"/>
          <w:sz w:val="20"/>
          <w:szCs w:val="20"/>
        </w:rPr>
        <w:br/>
        <w:t>r) stato di disoccupazione;</w:t>
      </w:r>
      <w:r>
        <w:rPr>
          <w:rFonts w:ascii="Calibri" w:hAnsi="Calibri" w:cs="Calibri"/>
          <w:color w:val="000000"/>
          <w:sz w:val="20"/>
          <w:szCs w:val="20"/>
        </w:rPr>
        <w:br/>
        <w:t>s) qualità di pensionato e categoria di pensione;</w:t>
      </w:r>
      <w:r>
        <w:rPr>
          <w:rFonts w:ascii="Calibri" w:hAnsi="Calibri" w:cs="Calibri"/>
          <w:color w:val="000000"/>
          <w:sz w:val="20"/>
          <w:szCs w:val="20"/>
        </w:rPr>
        <w:br/>
        <w:t>t) qualità di studente;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u) qualità di legale rappresentante di persone fisiche o giuridiche, di tutore, di curatore e simili;</w:t>
      </w:r>
      <w:r>
        <w:rPr>
          <w:rFonts w:ascii="Calibri" w:hAnsi="Calibri" w:cs="Calibri"/>
          <w:color w:val="000000"/>
          <w:sz w:val="20"/>
          <w:szCs w:val="20"/>
        </w:rPr>
        <w:br/>
        <w:t>v) iscrizione presso associazioni o formazioni sociali di qualsiasi tipo;</w:t>
      </w:r>
      <w:r>
        <w:rPr>
          <w:rFonts w:ascii="Calibri" w:hAnsi="Calibri" w:cs="Calibri"/>
          <w:color w:val="000000"/>
          <w:sz w:val="20"/>
          <w:szCs w:val="20"/>
        </w:rPr>
        <w:br/>
        <w:t>z) tutte le situazioni relative all'adempimento degli obblighi militari, ivi comprese quelle attestate nel foglio matricolare dello stato di servizio;</w:t>
      </w:r>
      <w:r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aa</w:t>
      </w:r>
      <w:proofErr w:type="spellEnd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) di non aver riportato condanne penali e di non essere destinatario di provvedimenti che riguardano l’applicazione di misure di sicurezza e di misure di prevenzione, di decisioni civili e di provvedimenti amministrativi iscritti nel casellario giudiziale ai sensi della vigente normativa;</w:t>
      </w:r>
      <w:r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bb</w:t>
      </w:r>
      <w:proofErr w:type="spellEnd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) di non essere a conoscenza di essere sottoposto a procedimenti penali;</w:t>
      </w:r>
      <w:r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bbb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 di non essere l'ente destinatario di provvedimenti giudiziari che applicano le sanzioni amministrative di cui al </w:t>
      </w:r>
      <w:hyperlink r:id="rId4" w:history="1">
        <w:r>
          <w:rPr>
            <w:rStyle w:val="Collegamentoipertestuale"/>
            <w:rFonts w:ascii="Calibri" w:hAnsi="Calibri" w:cs="Calibri"/>
            <w:sz w:val="20"/>
            <w:szCs w:val="20"/>
          </w:rPr>
          <w:t>decreto legislativo 8 giugno 2001, n. 231</w:t>
        </w:r>
      </w:hyperlink>
      <w:r>
        <w:rPr>
          <w:rFonts w:ascii="Calibri" w:hAnsi="Calibri" w:cs="Calibri"/>
          <w:color w:val="000000"/>
          <w:sz w:val="20"/>
          <w:szCs w:val="20"/>
        </w:rPr>
        <w:t>;</w:t>
      </w:r>
      <w:r>
        <w:rPr>
          <w:rFonts w:ascii="Calibri" w:hAnsi="Calibri" w:cs="Calibri"/>
          <w:color w:val="000000"/>
          <w:sz w:val="20"/>
          <w:szCs w:val="20"/>
        </w:rPr>
        <w:br/>
        <w:t>cc) qualità di vivenza a carico;</w:t>
      </w:r>
      <w:r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dd</w:t>
      </w:r>
      <w:proofErr w:type="spellEnd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) tutti i dati a diretta conoscenza dell'interessato contenuti nei registri dello stato civile;</w:t>
      </w:r>
      <w:r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ee</w:t>
      </w:r>
      <w:proofErr w:type="spellEnd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) di non trovarsi in stato di liquidazione o di fallimento e di non aver presentato domanda di concordato.</w:t>
      </w:r>
    </w:p>
    <w:p w:rsidR="0021522B" w:rsidRDefault="0021522B" w:rsidP="0021522B">
      <w:pPr>
        <w:pStyle w:val="NormaleWeb"/>
        <w:shd w:val="clear" w:color="auto" w:fill="F5FDFE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1" w:name="47"/>
      <w:r>
        <w:rPr>
          <w:rFonts w:ascii="Calibri" w:hAnsi="Calibri" w:cs="Calibri"/>
          <w:b/>
          <w:bCs/>
          <w:color w:val="000000"/>
          <w:sz w:val="20"/>
          <w:szCs w:val="20"/>
        </w:rPr>
        <w:t>Art. 47 (R) Dichiarazioni sostitutive dell’atto di notorietà</w:t>
      </w:r>
      <w:bookmarkEnd w:id="1"/>
    </w:p>
    <w:p w:rsidR="0021522B" w:rsidRDefault="0021522B" w:rsidP="0021522B">
      <w:pPr>
        <w:pStyle w:val="NormaleWeb"/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>1. L'atto di notorietà concernente stati, qualità personali o fatti che siano a diretta conoscenza dell'interessato è sostituito da dichiarazione resa e sottoscritta dal medesimo con la osservanza delle modalità di cui all’</w:t>
      </w:r>
      <w:hyperlink r:id="rId5" w:anchor="38" w:history="1">
        <w:r>
          <w:rPr>
            <w:rStyle w:val="Collegamentoipertestuale"/>
            <w:rFonts w:ascii="Calibri" w:hAnsi="Calibri" w:cs="Calibri"/>
            <w:sz w:val="20"/>
            <w:szCs w:val="20"/>
          </w:rPr>
          <w:t>articolo 38</w:t>
        </w:r>
      </w:hyperlink>
      <w:r>
        <w:rPr>
          <w:rFonts w:ascii="Calibri" w:hAnsi="Calibri" w:cs="Calibri"/>
          <w:color w:val="000000"/>
          <w:sz w:val="20"/>
          <w:szCs w:val="20"/>
        </w:rPr>
        <w:t>. (R)</w:t>
      </w:r>
    </w:p>
    <w:p w:rsidR="0021522B" w:rsidRDefault="0021522B" w:rsidP="0021522B">
      <w:pPr>
        <w:pStyle w:val="NormaleWeb"/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La dichiarazione resa nell’interesse proprio del dichiarante può riguardare anche stati, qualità personali e fatti relativi ad altri soggetti di cui egli abbia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diretta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conoscenza. (R)</w:t>
      </w:r>
    </w:p>
    <w:p w:rsidR="0021522B" w:rsidRDefault="0021522B" w:rsidP="0021522B">
      <w:pPr>
        <w:pStyle w:val="NormaleWeb"/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3. Fatte salve le eccezioni espressamente previste per legge, nei rapporti con la pubblica amministrazione e con i concessionari di pubblici servizi, tutti gli stati, le qualità personali e i fatti non espressamente indicati nell'articolo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46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sono comprovati dall'interessato mediante la dichiarazione sostitutiva di atto di notorietà. (R)</w:t>
      </w:r>
    </w:p>
    <w:p w:rsidR="0021522B" w:rsidRDefault="0021522B" w:rsidP="0021522B">
      <w:pPr>
        <w:pStyle w:val="NormaleWeb"/>
        <w:shd w:val="clear" w:color="auto" w:fill="F5FDF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4. Salvo il caso in cui la legge preveda espressamente che la denuncia all’Autorità di Polizia Giudiziaria è presupposto necessario per attivare il procedimento amministrativo di rilascio del duplicato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documenti di riconoscimento o comunque attestanti stati e qualità personali dell’interessato, lo smarrimento dei documenti medesimi è comprovato da chi ne richiede il duplicato mediante dichiarazione sostitutiva. (R)</w:t>
      </w:r>
    </w:p>
    <w:p w:rsidR="0021522B" w:rsidRDefault="0021522B" w:rsidP="0021522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FE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2" w:name="38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Art. 38 (L - R)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Modalità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di invio e sottoscrizione delle istanze</w:t>
      </w:r>
      <w:bookmarkEnd w:id="2"/>
    </w:p>
    <w:p w:rsidR="0021522B" w:rsidRDefault="0021522B" w:rsidP="0021522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Tutte le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istanze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 le dichiarazioni da presentare alla pubblica amministrazione o ai gestori o esercenti di pubblici servizi possono essere inviate anche per fax e via telematica.(L)</w:t>
      </w:r>
    </w:p>
    <w:p w:rsidR="0021522B" w:rsidRDefault="0021522B" w:rsidP="0021522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>2. Le istanze e le dichiarazioni inviate per via telematica ivi comprese le domande per la partecipazione a selezioni e concorsi per l'assunzione, a qualsiasi titolo, in tutte le pubbliche amministrazioni, o per l'iscrizione in albi, registri o elenchi tenuti presso le pubbliche amministrazioni, sono valide se effettuate secondo quanto previsto dall'</w:t>
      </w:r>
      <w:hyperlink r:id="rId6" w:anchor="65" w:history="1">
        <w:r>
          <w:rPr>
            <w:rStyle w:val="Collegamentoipertestuale"/>
            <w:rFonts w:ascii="Calibri" w:hAnsi="Calibri" w:cs="Calibri"/>
            <w:sz w:val="20"/>
            <w:szCs w:val="20"/>
          </w:rPr>
          <w:t>articolo 65 del decreto legislativo 7 marzo 2005, n. 82</w:t>
        </w:r>
      </w:hyperlink>
      <w:r>
        <w:rPr>
          <w:rFonts w:ascii="Calibri" w:hAnsi="Calibri" w:cs="Calibri"/>
          <w:color w:val="000000"/>
          <w:sz w:val="20"/>
          <w:szCs w:val="20"/>
        </w:rPr>
        <w:t>. (L)</w:t>
      </w:r>
    </w:p>
    <w:p w:rsidR="0021522B" w:rsidRDefault="0021522B" w:rsidP="0021522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Le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istanze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 La copia fotostatica del documento è inserita nel fascicolo. La copia dell'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istanza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sottoscritta dall'interessato e la copia del documento di identità possono essere inviate per via telematica; nei procedimenti di aggiudicazione di contratti pubblici, detta facoltà è consentita nei limiti stabiliti dal regolamento di cui all’articolo 15, comma 2 della legge 15 marzo 1997, n. 59. (L)</w:t>
      </w:r>
    </w:p>
    <w:p w:rsidR="0021522B" w:rsidRDefault="0021522B" w:rsidP="0021522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3-bis. Il potere di rappresentanza per la formazione e la presentazione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di 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istanze, progetti, dichiarazioni e altre attestazioni nonché per il ritiro di atti e documenti presso le pubbliche amministrazioni e i gestori o esercenti di pubblici servizi può essere validamente-conferito ad altro soggetto con le modalità di cui al presente articolo.</w:t>
      </w:r>
    </w:p>
    <w:p w:rsidR="0021522B" w:rsidRDefault="0021522B" w:rsidP="0021522B">
      <w:pPr>
        <w:pStyle w:val="NormaleWeb"/>
        <w:shd w:val="clear" w:color="auto" w:fill="F5FDFE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3" w:name="48"/>
      <w:r>
        <w:rPr>
          <w:rFonts w:ascii="Calibri" w:hAnsi="Calibri" w:cs="Calibri"/>
          <w:b/>
          <w:bCs/>
          <w:color w:val="000000"/>
          <w:sz w:val="20"/>
          <w:szCs w:val="20"/>
        </w:rPr>
        <w:t>Art. 48 (R) Disposizioni generali in materia di dichiarazioni sostitutive</w:t>
      </w:r>
      <w:bookmarkEnd w:id="3"/>
    </w:p>
    <w:p w:rsidR="0021522B" w:rsidRDefault="0021522B" w:rsidP="0021522B">
      <w:pPr>
        <w:pStyle w:val="NormaleWeb"/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>1. Le dichiarazioni sostitutive hanno la stessa validità temporale degli atti che sostituiscono.</w:t>
      </w:r>
    </w:p>
    <w:p w:rsidR="0021522B" w:rsidRDefault="0021522B" w:rsidP="0021522B">
      <w:pPr>
        <w:pStyle w:val="NormaleWeb"/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Le singole amministrazioni predispongono i moduli necessari per la redazione delle dichiarazioni sostitutive, che gli interessati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hanno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facoltà di utilizzare. Nei moduli per la presentazione delle dichiarazioni sostitutive le amministrazioni inseriscono il richiamo alle sanzioni penali previste dall'articolo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76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, per le ipotesi di falsità in atti e dichiarazioni mendaci ivi indicate. Il modulo contiene anche l'informativa di cui all'articolo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10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della legge 31 dicembre 1996, n. 675.</w:t>
      </w:r>
    </w:p>
    <w:p w:rsidR="0021522B" w:rsidRDefault="0021522B" w:rsidP="0021522B">
      <w:pPr>
        <w:pStyle w:val="NormaleWeb"/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In tutti i casi in cui sono ammesse le dichiarazioni sostitutive, le singole amministrazioni inseriscono la relativa formula nei moduli per le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istanze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21522B" w:rsidRDefault="0021522B" w:rsidP="0021522B">
      <w:pPr>
        <w:pStyle w:val="NormaleWeb"/>
        <w:shd w:val="clear" w:color="auto" w:fill="F5FDFE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4" w:name="49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Art.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49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Limiti di utilizzo delle misure di semplificazione</w:t>
      </w:r>
      <w:bookmarkEnd w:id="4"/>
    </w:p>
    <w:p w:rsidR="0021522B" w:rsidRDefault="0021522B" w:rsidP="0021522B">
      <w:pPr>
        <w:pStyle w:val="NormaleWeb"/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I certificati medici, sanitari, veterinari, di origine, di conformità CE, di marchi o brevetti non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possono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essere sostituiti da altro documento, salvo diverse disposizioni della normativa di settore.</w:t>
      </w:r>
    </w:p>
    <w:p w:rsidR="0021522B" w:rsidRDefault="0021522B" w:rsidP="0021522B">
      <w:pPr>
        <w:pStyle w:val="NormaleWeb"/>
        <w:shd w:val="clear" w:color="auto" w:fill="F5FDF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Tutti i certificati medici e sanitari richiesti dalle istituzioni scolastiche ai fini della pratica non agonistica di attività sportive da parte dei propri alunni sono sostituiti con un unico certificato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di 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idoneità alla pratica non agonistica di attività sportive rilasciato dal medico di base con validità per l'intero anno scolastico.</w:t>
      </w:r>
    </w:p>
    <w:p w:rsidR="0021522B" w:rsidRDefault="0021522B" w:rsidP="0021522B">
      <w:pPr>
        <w:pStyle w:val="NormaleWeb"/>
        <w:shd w:val="clear" w:color="auto" w:fill="F5FDFE"/>
        <w:rPr>
          <w:rFonts w:ascii="Calibri" w:hAnsi="Calibri" w:cs="Calibri"/>
          <w:color w:val="000000"/>
          <w:sz w:val="20"/>
          <w:szCs w:val="20"/>
        </w:rPr>
      </w:pPr>
      <w:r w:rsidRPr="0021522B">
        <w:rPr>
          <w:rFonts w:ascii="Calibri" w:hAnsi="Calibri" w:cs="Calibri"/>
          <w:color w:val="000000"/>
          <w:sz w:val="20"/>
          <w:szCs w:val="20"/>
          <w:highlight w:val="cyan"/>
        </w:rPr>
        <w:t>… su controlli e responsabilità in tema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gramEnd"/>
    </w:p>
    <w:p w:rsidR="0021522B" w:rsidRDefault="0021522B" w:rsidP="0021522B">
      <w:pPr>
        <w:pStyle w:val="NormaleWeb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CAPO V - CONTROLLI</w:t>
      </w:r>
    </w:p>
    <w:p w:rsidR="0021522B" w:rsidRDefault="0021522B" w:rsidP="0021522B">
      <w:pPr>
        <w:pStyle w:val="NormaleWeb"/>
        <w:jc w:val="center"/>
        <w:rPr>
          <w:color w:val="000000"/>
          <w:sz w:val="27"/>
          <w:szCs w:val="27"/>
        </w:rPr>
      </w:pPr>
      <w:bookmarkStart w:id="5" w:name="71"/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Art. 71 (R)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Modalità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dei controlli</w:t>
      </w:r>
      <w:bookmarkEnd w:id="5"/>
    </w:p>
    <w:p w:rsidR="0021522B" w:rsidRDefault="0021522B" w:rsidP="0021522B">
      <w:pPr>
        <w:pStyle w:val="NormaleWeb"/>
        <w:rPr>
          <w:color w:val="000000"/>
          <w:sz w:val="27"/>
          <w:szCs w:val="27"/>
        </w:rPr>
      </w:pP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 xml:space="preserve">1. Le amministrazioni </w:t>
      </w:r>
      <w:r w:rsidRPr="0021522B">
        <w:rPr>
          <w:rFonts w:ascii="Calibri" w:hAnsi="Calibri" w:cs="Calibri"/>
          <w:color w:val="000000"/>
          <w:sz w:val="20"/>
          <w:szCs w:val="20"/>
        </w:rPr>
        <w:t xml:space="preserve">procedenti </w:t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sono tenute ad effettuare idonei controlli, anche a campione in misura proporzionale al rischio e all'entità del beneficio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e nei casi di ragionevole dubbio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sulla veridicità delle dichiarazioni</w:t>
      </w:r>
      <w:r>
        <w:rPr>
          <w:rFonts w:ascii="Calibri" w:hAnsi="Calibri" w:cs="Calibri"/>
          <w:color w:val="000000"/>
          <w:sz w:val="20"/>
          <w:szCs w:val="20"/>
        </w:rPr>
        <w:t xml:space="preserve"> di cui agli </w:t>
      </w:r>
      <w:hyperlink r:id="rId7" w:anchor="46" w:history="1">
        <w:r>
          <w:rPr>
            <w:rStyle w:val="Collegamentoipertestuale"/>
            <w:rFonts w:ascii="Calibri" w:hAnsi="Calibri" w:cs="Calibri"/>
            <w:sz w:val="20"/>
            <w:szCs w:val="20"/>
          </w:rPr>
          <w:t>articoli 46 e 47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anche successivamente all'erogazione dei benefici</w:t>
      </w:r>
      <w:r>
        <w:rPr>
          <w:rFonts w:ascii="Calibri" w:hAnsi="Calibri" w:cs="Calibri"/>
          <w:color w:val="000000"/>
          <w:sz w:val="20"/>
          <w:szCs w:val="20"/>
        </w:rPr>
        <w:t>, comunque denominati, per i quali sono rese le dichiarazioni. (L)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i/>
          <w:iCs/>
          <w:color w:val="FF0000"/>
          <w:sz w:val="20"/>
          <w:szCs w:val="20"/>
        </w:rPr>
        <w:t>(comma così sostituito dall'art. 264, comma 2, lettera a), legge n. 77 del 2020 - Si veda anche </w:t>
      </w:r>
      <w:hyperlink r:id="rId8" w:anchor="Nota_1" w:history="1">
        <w:r>
          <w:rPr>
            <w:rStyle w:val="Collegamentoipertestuale"/>
            <w:rFonts w:ascii="Calibri" w:hAnsi="Calibri" w:cs="Calibri"/>
            <w:i/>
            <w:iCs/>
            <w:sz w:val="20"/>
            <w:szCs w:val="20"/>
          </w:rPr>
          <w:t>la nota 1</w:t>
        </w:r>
      </w:hyperlink>
      <w:r>
        <w:rPr>
          <w:rFonts w:ascii="Calibri" w:hAnsi="Calibri" w:cs="Calibri"/>
          <w:i/>
          <w:iCs/>
          <w:color w:val="FF0000"/>
          <w:sz w:val="20"/>
          <w:szCs w:val="20"/>
        </w:rPr>
        <w:t>)</w:t>
      </w:r>
    </w:p>
    <w:p w:rsidR="0021522B" w:rsidRDefault="0021522B" w:rsidP="0021522B">
      <w:pPr>
        <w:pStyle w:val="NormaleWeb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>2. I controlli riguardanti dichiarazioni sostitutive di certificazione sono effettuati dall’amministrazione procedente con le modalità di cui all’</w:t>
      </w:r>
      <w:hyperlink r:id="rId9" w:anchor="43" w:history="1">
        <w:r>
          <w:rPr>
            <w:rStyle w:val="Collegamentoipertestuale"/>
            <w:rFonts w:ascii="Calibri" w:hAnsi="Calibri" w:cs="Calibri"/>
            <w:sz w:val="20"/>
            <w:szCs w:val="20"/>
          </w:rPr>
          <w:t>articolo 43</w:t>
        </w:r>
      </w:hyperlink>
      <w:r>
        <w:rPr>
          <w:rFonts w:ascii="Calibri" w:hAnsi="Calibri" w:cs="Calibri"/>
          <w:color w:val="000000"/>
          <w:sz w:val="20"/>
          <w:szCs w:val="20"/>
        </w:rPr>
        <w:t> consultando direttamente gli archivi dell’amministrazione certificante ovvero richiedendo alla medesima, anche attraverso strumenti informatici o telematici, conferma scritta della corrispondenza di quanto dichiarato con le risultanze dei registri da questa custoditi. (R)</w:t>
      </w:r>
    </w:p>
    <w:p w:rsidR="0021522B" w:rsidRDefault="0021522B" w:rsidP="0021522B">
      <w:pPr>
        <w:pStyle w:val="NormaleWeb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>3. Qualora le dichiarazioni di cui agli </w:t>
      </w:r>
      <w:hyperlink r:id="rId10" w:anchor="46" w:history="1">
        <w:r>
          <w:rPr>
            <w:rStyle w:val="Collegamentoipertestuale"/>
            <w:rFonts w:ascii="Calibri" w:hAnsi="Calibri" w:cs="Calibri"/>
            <w:sz w:val="20"/>
            <w:szCs w:val="20"/>
          </w:rPr>
          <w:t>articoli 46 e 47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 presentino delle irregolarità o delle omissioni rilevabili d’ufficio, non costituenti falsità, il funzionario competente a ricevere la documentazione dà notizia all’interessato di tale irregolarità. </w:t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 xml:space="preserve">Questi è tenuto alla </w:t>
      </w:r>
      <w:proofErr w:type="gramStart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regolarizzazione</w:t>
      </w:r>
      <w:proofErr w:type="gramEnd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 xml:space="preserve"> o al completamento della dichiarazione; in mancanza il procedimento non ha seguito</w:t>
      </w:r>
      <w:r>
        <w:rPr>
          <w:rFonts w:ascii="Calibri" w:hAnsi="Calibri" w:cs="Calibri"/>
          <w:color w:val="000000"/>
          <w:sz w:val="20"/>
          <w:szCs w:val="20"/>
        </w:rPr>
        <w:t>. (R)</w:t>
      </w:r>
    </w:p>
    <w:p w:rsidR="0021522B" w:rsidRDefault="0021522B" w:rsidP="0021522B">
      <w:pPr>
        <w:pStyle w:val="NormaleWeb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4. Qualora il controllo riguardi dichiarazioni sostitutive presentate ai privati di cui all’articolo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2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 l’amministrazione competente per il rilascio della relativa certificazione, è tenuta a fornire, su richiesta del soggetto privato corredata dal consenso del dichiarante, conferma scritta, anche attraverso l’uso di strumenti informatici o telematici, della corrispondenza di quanto dichiarato con le risultanze dei dati da essa custoditi. (R)</w:t>
      </w:r>
      <w:r>
        <w:rPr>
          <w:color w:val="000000"/>
          <w:sz w:val="27"/>
          <w:szCs w:val="27"/>
        </w:rPr>
        <w:br/>
      </w:r>
      <w:proofErr w:type="gramStart"/>
      <w:r>
        <w:rPr>
          <w:rFonts w:ascii="Calibri" w:hAnsi="Calibri" w:cs="Calibri"/>
          <w:i/>
          <w:iCs/>
          <w:color w:val="FF0000"/>
          <w:sz w:val="20"/>
          <w:szCs w:val="20"/>
        </w:rPr>
        <w:t>(comma</w:t>
      </w:r>
      <w:proofErr w:type="gramEnd"/>
      <w:r>
        <w:rPr>
          <w:rFonts w:ascii="Calibri" w:hAnsi="Calibri" w:cs="Calibri"/>
          <w:i/>
          <w:iCs/>
          <w:color w:val="FF0000"/>
          <w:sz w:val="20"/>
          <w:szCs w:val="20"/>
        </w:rPr>
        <w:t xml:space="preserve"> così modificato dall'art. 30-bis della legge n. 120 del 2020)</w:t>
      </w:r>
    </w:p>
    <w:p w:rsidR="0021522B" w:rsidRDefault="0021522B" w:rsidP="0021522B">
      <w:pPr>
        <w:pStyle w:val="NormaleWeb"/>
        <w:jc w:val="center"/>
        <w:rPr>
          <w:color w:val="000000"/>
          <w:sz w:val="27"/>
          <w:szCs w:val="27"/>
        </w:rPr>
      </w:pPr>
      <w:bookmarkStart w:id="6" w:name="72"/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Art. 72 (L) Responsabilità </w:t>
      </w:r>
      <w:bookmarkEnd w:id="6"/>
      <w:r>
        <w:rPr>
          <w:rFonts w:ascii="Calibri" w:hAnsi="Calibri" w:cs="Calibri"/>
          <w:b/>
          <w:bCs/>
          <w:color w:val="000000"/>
          <w:sz w:val="20"/>
          <w:szCs w:val="20"/>
        </w:rPr>
        <w:t>in materia di accertamento d’ufficio e di esecuzione dei controlli</w:t>
      </w:r>
      <w:proofErr w:type="gramEnd"/>
    </w:p>
    <w:p w:rsidR="0021522B" w:rsidRDefault="0021522B" w:rsidP="0021522B">
      <w:pPr>
        <w:pStyle w:val="NormaleWeb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Ai fini dell’accertamento d’ufficio di cui all’articolo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43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 dei controlli di cui all’articolo 71, le amministrazioni certificanti individuano un ufficio responsabile per tutte le attività volte a gestire, garantire e verificare la trasmissione dei dati o l’accesso diretto agli stessi da parte delle amministrazioni procedenti.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i/>
          <w:iCs/>
          <w:color w:val="FF0000"/>
          <w:sz w:val="20"/>
          <w:szCs w:val="20"/>
        </w:rPr>
        <w:t xml:space="preserve">(comma così modificato dall'art. </w:t>
      </w:r>
      <w:proofErr w:type="gramStart"/>
      <w:r>
        <w:rPr>
          <w:rFonts w:ascii="Calibri" w:hAnsi="Calibri" w:cs="Calibri"/>
          <w:i/>
          <w:iCs/>
          <w:color w:val="FF0000"/>
          <w:sz w:val="20"/>
          <w:szCs w:val="20"/>
        </w:rPr>
        <w:t>39</w:t>
      </w:r>
      <w:proofErr w:type="gramEnd"/>
      <w:r>
        <w:rPr>
          <w:rFonts w:ascii="Calibri" w:hAnsi="Calibri" w:cs="Calibri"/>
          <w:i/>
          <w:iCs/>
          <w:color w:val="FF0000"/>
          <w:sz w:val="20"/>
          <w:szCs w:val="20"/>
        </w:rPr>
        <w:t>, comma 5, lettera b), legge n. 108 del 2021)</w:t>
      </w:r>
    </w:p>
    <w:p w:rsidR="0021522B" w:rsidRDefault="0021522B" w:rsidP="0021522B">
      <w:pPr>
        <w:pStyle w:val="NormaleWeb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Le amministrazioni certificanti, per il tramite dell’ufficio di cui al comma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1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 individuano e rendono note, attraverso la pubblicazione sul sito istituzionale dell’amministrazione, le misure organizzative adottate per l’efficiente, efficace e tempestiva acquisizione d’ufficio dei dati e per l’effettuazione dei controlli medesimi, nonché le modalità per la loro esecuzione.</w:t>
      </w:r>
    </w:p>
    <w:p w:rsidR="0021522B" w:rsidRDefault="0021522B" w:rsidP="0021522B">
      <w:pPr>
        <w:pStyle w:val="NormaleWeb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La mancata risposta alle richieste di controllo entro trenta giorni costituisce violazione dei doveri d’ufficio e viene in ogni caso presa in considerazione ai fini della misurazione e della valutazione della performance individuale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dei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responsabili dell’omissione.</w:t>
      </w:r>
    </w:p>
    <w:p w:rsidR="0021522B" w:rsidRDefault="0021522B" w:rsidP="0021522B">
      <w:pPr>
        <w:pStyle w:val="NormaleWeb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CAPO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VI</w:t>
      </w:r>
      <w:proofErr w:type="spellEnd"/>
    </w:p>
    <w:p w:rsidR="0021522B" w:rsidRDefault="0021522B" w:rsidP="0021522B">
      <w:pPr>
        <w:pStyle w:val="NormaleWeb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7" w:name="73"/>
      <w:r>
        <w:rPr>
          <w:rFonts w:ascii="Calibri" w:hAnsi="Calibri" w:cs="Calibri"/>
          <w:b/>
          <w:bCs/>
          <w:color w:val="000000"/>
          <w:sz w:val="20"/>
          <w:szCs w:val="20"/>
        </w:rPr>
        <w:t>Art. 73 (L) Assenza di responsabilità della pubblica amministrazione</w:t>
      </w:r>
      <w:bookmarkEnd w:id="7"/>
    </w:p>
    <w:p w:rsidR="0021522B" w:rsidRDefault="0021522B" w:rsidP="0021522B">
      <w:pPr>
        <w:pStyle w:val="NormaleWeb"/>
        <w:rPr>
          <w:rFonts w:ascii="Calibri" w:hAnsi="Calibri" w:cs="Calibri"/>
          <w:color w:val="000000"/>
          <w:sz w:val="27"/>
          <w:szCs w:val="27"/>
        </w:rPr>
      </w:pP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1. Le pubbliche amministrazioni e i loro dipendenti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salvi i casi di dolo o colpa grave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sono esenti da ogni responsabilità per gli atti emanati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 xml:space="preserve">quando l’emanazione sia conseguenza di false dichiarazioni o di documenti </w:t>
      </w:r>
      <w:proofErr w:type="gramStart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falsi</w:t>
      </w:r>
      <w:proofErr w:type="gramEnd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 xml:space="preserve"> o contenenti dati non più rispondenti a verità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prodotti dall’interessato o da terzi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21522B" w:rsidRDefault="0021522B" w:rsidP="0021522B">
      <w:pPr>
        <w:pStyle w:val="NormaleWeb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8" w:name="74"/>
      <w:r>
        <w:rPr>
          <w:rFonts w:ascii="Calibri" w:hAnsi="Calibri" w:cs="Calibri"/>
          <w:b/>
          <w:bCs/>
          <w:color w:val="000000"/>
          <w:sz w:val="20"/>
          <w:szCs w:val="20"/>
        </w:rPr>
        <w:t>Art. 74 (L-R) Violazione dei doveri d’ufficio</w:t>
      </w:r>
      <w:bookmarkEnd w:id="8"/>
    </w:p>
    <w:p w:rsidR="0021522B" w:rsidRDefault="0021522B" w:rsidP="0021522B">
      <w:pPr>
        <w:pStyle w:val="NormaleWeb"/>
        <w:rPr>
          <w:rFonts w:ascii="Calibri" w:hAnsi="Calibri" w:cs="Calibri"/>
          <w:color w:val="000000"/>
          <w:sz w:val="27"/>
          <w:szCs w:val="27"/>
        </w:rPr>
      </w:pP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 xml:space="preserve">1. Costituisce violazione dei doveri d’ufficio la mancata accettazione delle dichiarazioni sostitutive di certificazione o di atto di notorietà rese a norma </w:t>
      </w:r>
      <w:proofErr w:type="gramStart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delle</w:t>
      </w:r>
      <w:proofErr w:type="gramEnd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 xml:space="preserve"> disposizioni del presente testo unico</w:t>
      </w:r>
      <w:r>
        <w:rPr>
          <w:rFonts w:ascii="Calibri" w:hAnsi="Calibri" w:cs="Calibri"/>
          <w:color w:val="000000"/>
          <w:sz w:val="20"/>
          <w:szCs w:val="20"/>
        </w:rPr>
        <w:t>. (L)</w:t>
      </w:r>
    </w:p>
    <w:p w:rsidR="0021522B" w:rsidRDefault="0021522B" w:rsidP="0021522B">
      <w:pPr>
        <w:pStyle w:val="NormaleWeb"/>
        <w:rPr>
          <w:rFonts w:ascii="Calibri" w:hAnsi="Calibri" w:cs="Calibri"/>
          <w:color w:val="000000"/>
          <w:sz w:val="27"/>
          <w:szCs w:val="27"/>
        </w:rPr>
      </w:pP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 xml:space="preserve">2. </w:t>
      </w:r>
      <w:proofErr w:type="gramStart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Costituiscono</w:t>
      </w:r>
      <w:proofErr w:type="gramEnd"/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 xml:space="preserve"> altresì violazioni dei doveri d’ufficio:</w:t>
      </w:r>
    </w:p>
    <w:p w:rsidR="0021522B" w:rsidRDefault="0021522B" w:rsidP="0021522B">
      <w:pPr>
        <w:pStyle w:val="NormaleWeb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a) la richiesta e l'accettazione di certificati o di atti di notorietà; (L)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b) il rifiuto da parte del dipendente addetto di accettare l’attestazione di stati,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qualità personali e fatti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mediante l’esibizione di un documento di riconoscimento; (R)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c) la richiesta e la produzione, da parte rispettivamente degli ufficiali di stato civile e dei direttori sanitari, del certificato di assistenza al parto ai fini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della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formazione dell’atto di nascita; (R)</w:t>
      </w:r>
      <w:r>
        <w:rPr>
          <w:rFonts w:ascii="Calibri" w:hAnsi="Calibri" w:cs="Calibri"/>
          <w:color w:val="000000"/>
          <w:sz w:val="20"/>
          <w:szCs w:val="20"/>
        </w:rPr>
        <w:br/>
        <w:t>c-bis) il rilascio di certificati non conformi a quanto previsto all’</w:t>
      </w:r>
      <w:hyperlink r:id="rId11" w:anchor="40" w:history="1">
        <w:r>
          <w:rPr>
            <w:rStyle w:val="Collegamentoipertestuale"/>
            <w:rFonts w:ascii="Calibri" w:hAnsi="Calibri" w:cs="Calibri"/>
            <w:sz w:val="20"/>
            <w:szCs w:val="20"/>
          </w:rPr>
          <w:t>articolo 40, comma 02</w:t>
        </w:r>
      </w:hyperlink>
      <w:r>
        <w:rPr>
          <w:rFonts w:ascii="Calibri" w:hAnsi="Calibri" w:cs="Calibri"/>
          <w:color w:val="000000"/>
          <w:sz w:val="20"/>
          <w:szCs w:val="20"/>
        </w:rPr>
        <w:t>. (L)</w:t>
      </w:r>
    </w:p>
    <w:p w:rsidR="0021522B" w:rsidRDefault="0021522B" w:rsidP="0021522B">
      <w:pPr>
        <w:pStyle w:val="NormaleWeb"/>
        <w:jc w:val="center"/>
        <w:rPr>
          <w:color w:val="000000"/>
          <w:sz w:val="27"/>
          <w:szCs w:val="27"/>
        </w:rPr>
      </w:pPr>
      <w:bookmarkStart w:id="9" w:name="75"/>
      <w:r>
        <w:rPr>
          <w:rFonts w:ascii="Calibri" w:hAnsi="Calibri" w:cs="Calibri"/>
          <w:b/>
          <w:bCs/>
          <w:color w:val="000000"/>
          <w:sz w:val="20"/>
          <w:szCs w:val="20"/>
        </w:rPr>
        <w:t>Art. 75 (R) Decadenza dai benefici</w:t>
      </w:r>
      <w:bookmarkEnd w:id="9"/>
    </w:p>
    <w:p w:rsidR="0021522B" w:rsidRDefault="0021522B" w:rsidP="0021522B">
      <w:pPr>
        <w:pStyle w:val="NormaleWeb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Fermo restando quanto previsto dall'articolo 76, </w:t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qualora dal controllo</w:t>
      </w:r>
      <w:r>
        <w:rPr>
          <w:rFonts w:ascii="Calibri" w:hAnsi="Calibri" w:cs="Calibri"/>
          <w:color w:val="000000"/>
          <w:sz w:val="20"/>
          <w:szCs w:val="20"/>
        </w:rPr>
        <w:t xml:space="preserve"> di cui all’</w:t>
      </w:r>
      <w:hyperlink r:id="rId12" w:anchor="71" w:history="1">
        <w:r>
          <w:rPr>
            <w:rStyle w:val="Collegamentoipertestuale"/>
            <w:rFonts w:ascii="Calibri" w:hAnsi="Calibri" w:cs="Calibri"/>
            <w:sz w:val="20"/>
            <w:szCs w:val="20"/>
          </w:rPr>
          <w:t>articolo 71</w:t>
        </w:r>
      </w:hyperlink>
      <w:r>
        <w:rPr>
          <w:rFonts w:ascii="Calibri" w:hAnsi="Calibri" w:cs="Calibri"/>
          <w:color w:val="000000"/>
          <w:sz w:val="20"/>
          <w:szCs w:val="20"/>
        </w:rPr>
        <w:t> </w:t>
      </w:r>
      <w:r w:rsidRPr="0021522B">
        <w:rPr>
          <w:rFonts w:ascii="Calibri" w:hAnsi="Calibri" w:cs="Calibri"/>
          <w:color w:val="000000"/>
          <w:sz w:val="20"/>
          <w:szCs w:val="20"/>
          <w:highlight w:val="yellow"/>
        </w:rPr>
        <w:t>emerga la non veridicità del contenuto della dichiarazione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9A44CE">
        <w:rPr>
          <w:rFonts w:ascii="Calibri" w:hAnsi="Calibri" w:cs="Calibri"/>
          <w:strike/>
          <w:color w:val="000000"/>
          <w:sz w:val="20"/>
          <w:szCs w:val="20"/>
          <w:highlight w:val="yellow"/>
        </w:rPr>
        <w:t>il dichiarante decade dai benefici eventualmente conseguenti al provvedimento emanato sulla base della dichiarazione non veritiera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21522B" w:rsidRDefault="0021522B" w:rsidP="0021522B">
      <w:pPr>
        <w:pStyle w:val="NormaleWeb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1-bis. La dichiarazione mendace comporta, altresì, la revoca degli eventuali benefici già erogati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nonché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il divieto di accesso a contributi, finanziamenti e agevolazioni per un periodo di 2 anni decorrenti da quando l'amministrazione ha adottato l'atto di decadenza. Restano comunque fermi gli interventi, anche economici, in favore dei minori e per le situazioni familiari e sociali di particolare disagio. (L)</w:t>
      </w:r>
      <w:r>
        <w:rPr>
          <w:color w:val="000000"/>
          <w:sz w:val="27"/>
          <w:szCs w:val="27"/>
        </w:rPr>
        <w:br/>
      </w:r>
      <w:proofErr w:type="gramStart"/>
      <w:r>
        <w:rPr>
          <w:rFonts w:ascii="Calibri" w:hAnsi="Calibri" w:cs="Calibri"/>
          <w:i/>
          <w:iCs/>
          <w:color w:val="FF0000"/>
          <w:sz w:val="20"/>
          <w:szCs w:val="20"/>
        </w:rPr>
        <w:t>(comma</w:t>
      </w:r>
      <w:proofErr w:type="gramEnd"/>
      <w:r>
        <w:rPr>
          <w:rFonts w:ascii="Calibri" w:hAnsi="Calibri" w:cs="Calibri"/>
          <w:i/>
          <w:iCs/>
          <w:color w:val="FF0000"/>
          <w:sz w:val="20"/>
          <w:szCs w:val="20"/>
        </w:rPr>
        <w:t xml:space="preserve"> aggiunto dall'art. 264, comma 2, lettera a), legge n. 77 del 2020)</w:t>
      </w:r>
    </w:p>
    <w:p w:rsidR="0021522B" w:rsidRDefault="0021522B" w:rsidP="0021522B">
      <w:pPr>
        <w:pStyle w:val="NormaleWeb"/>
        <w:jc w:val="center"/>
        <w:rPr>
          <w:color w:val="000000"/>
          <w:sz w:val="27"/>
          <w:szCs w:val="27"/>
        </w:rPr>
      </w:pPr>
      <w:bookmarkStart w:id="10" w:name="76"/>
      <w:r>
        <w:rPr>
          <w:rFonts w:ascii="Calibri" w:hAnsi="Calibri" w:cs="Calibri"/>
          <w:b/>
          <w:bCs/>
          <w:color w:val="000000"/>
          <w:sz w:val="20"/>
          <w:szCs w:val="20"/>
        </w:rPr>
        <w:t>Art. 76 (L) Norme penali</w:t>
      </w:r>
      <w:bookmarkEnd w:id="10"/>
    </w:p>
    <w:p w:rsidR="009A44CE" w:rsidRDefault="0021522B" w:rsidP="0021522B">
      <w:pPr>
        <w:pStyle w:val="NormaleWeb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Chiunque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rilascia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dichiarazioni mendaci, forma atti falsi o ne fa uso nei casi previsti dal presente testo unico è punito ai sensi del codice penale e delle leggi speciali in materia. La sanzione ordinariamente prevista dal codice penale è aumentata da un terzo alla metà.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i/>
          <w:iCs/>
          <w:color w:val="FF0000"/>
          <w:sz w:val="20"/>
          <w:szCs w:val="20"/>
        </w:rPr>
        <w:t xml:space="preserve">(comma così modificato dall'art. 264, comma </w:t>
      </w:r>
      <w:proofErr w:type="gramStart"/>
      <w:r>
        <w:rPr>
          <w:rFonts w:ascii="Calibri" w:hAnsi="Calibri" w:cs="Calibri"/>
          <w:i/>
          <w:iCs/>
          <w:color w:val="FF0000"/>
          <w:sz w:val="20"/>
          <w:szCs w:val="20"/>
        </w:rPr>
        <w:t>2</w:t>
      </w:r>
      <w:proofErr w:type="gramEnd"/>
      <w:r>
        <w:rPr>
          <w:rFonts w:ascii="Calibri" w:hAnsi="Calibri" w:cs="Calibri"/>
          <w:i/>
          <w:iCs/>
          <w:color w:val="FF0000"/>
          <w:sz w:val="20"/>
          <w:szCs w:val="20"/>
        </w:rPr>
        <w:t>, lettera a), legge n. 77 del 2020)</w:t>
      </w:r>
      <w:r>
        <w:rPr>
          <w:color w:val="000000"/>
          <w:sz w:val="27"/>
          <w:szCs w:val="27"/>
        </w:rPr>
        <w:br/>
        <w:t> </w:t>
      </w:r>
    </w:p>
    <w:p w:rsidR="0021522B" w:rsidRDefault="0021522B" w:rsidP="0021522B">
      <w:pPr>
        <w:pStyle w:val="NormaleWeb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L'esibizione di un atto contenente dati non più rispondenti a verità equivale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uso di atto falso.</w:t>
      </w:r>
    </w:p>
    <w:p w:rsidR="0021522B" w:rsidRDefault="0021522B" w:rsidP="0021522B">
      <w:pPr>
        <w:pStyle w:val="NormaleWeb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>3. Le dichiarazioni sostitutive rese ai sensi degli </w:t>
      </w:r>
      <w:hyperlink r:id="rId13" w:anchor="46" w:history="1">
        <w:r>
          <w:rPr>
            <w:rStyle w:val="Collegamentoipertestuale"/>
            <w:rFonts w:ascii="Calibri" w:hAnsi="Calibri" w:cs="Calibri"/>
            <w:sz w:val="20"/>
            <w:szCs w:val="20"/>
          </w:rPr>
          <w:t>articoli 46 e 47</w:t>
        </w:r>
      </w:hyperlink>
      <w:r>
        <w:rPr>
          <w:rFonts w:ascii="Calibri" w:hAnsi="Calibri" w:cs="Calibri"/>
          <w:color w:val="000000"/>
          <w:sz w:val="20"/>
          <w:szCs w:val="20"/>
        </w:rPr>
        <w:t> e le dichiarazioni rese per conto delle persone indicate nell'</w:t>
      </w:r>
      <w:hyperlink r:id="rId14" w:anchor="04" w:history="1">
        <w:r>
          <w:rPr>
            <w:rStyle w:val="Collegamentoipertestuale"/>
            <w:rFonts w:ascii="Calibri" w:hAnsi="Calibri" w:cs="Calibri"/>
            <w:sz w:val="20"/>
            <w:szCs w:val="20"/>
          </w:rPr>
          <w:t>articolo 4, comma 2</w:t>
        </w:r>
      </w:hyperlink>
      <w:r>
        <w:rPr>
          <w:rFonts w:ascii="Calibri" w:hAnsi="Calibri" w:cs="Calibri"/>
          <w:color w:val="000000"/>
          <w:sz w:val="20"/>
          <w:szCs w:val="20"/>
        </w:rPr>
        <w:t>, sono considerate come fatte a pubblico ufficiale.</w:t>
      </w:r>
    </w:p>
    <w:p w:rsidR="0021522B" w:rsidRDefault="0021522B" w:rsidP="0021522B">
      <w:pPr>
        <w:pStyle w:val="NormaleWeb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4. Se i reati indicati nei commi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1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 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21522B" w:rsidRDefault="0021522B" w:rsidP="0021522B">
      <w:pPr>
        <w:pStyle w:val="NormaleWeb"/>
        <w:shd w:val="clear" w:color="auto" w:fill="F5FDFE"/>
        <w:rPr>
          <w:rFonts w:ascii="Calibri" w:hAnsi="Calibri" w:cs="Calibri"/>
          <w:color w:val="000000"/>
          <w:sz w:val="27"/>
          <w:szCs w:val="27"/>
        </w:rPr>
      </w:pPr>
    </w:p>
    <w:p w:rsidR="0021522B" w:rsidRDefault="0021522B"/>
    <w:sectPr w:rsidR="0021522B" w:rsidSect="00121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21522B"/>
    <w:rsid w:val="00121992"/>
    <w:rsid w:val="001B3F22"/>
    <w:rsid w:val="0021522B"/>
    <w:rsid w:val="00277494"/>
    <w:rsid w:val="003F0317"/>
    <w:rsid w:val="00591648"/>
    <w:rsid w:val="007540BE"/>
    <w:rsid w:val="009A44CE"/>
    <w:rsid w:val="00D02569"/>
    <w:rsid w:val="00DC192C"/>
    <w:rsid w:val="00DE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9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15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00_0445.htm" TargetMode="External"/><Relationship Id="rId13" Type="http://schemas.openxmlformats.org/officeDocument/2006/relationships/hyperlink" Target="https://www.bosettiegatti.eu/info/norme/statali/2000_044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settiegatti.eu/info/norme/statali/2000_0445.htm" TargetMode="External"/><Relationship Id="rId12" Type="http://schemas.openxmlformats.org/officeDocument/2006/relationships/hyperlink" Target="https://www.bosettiegatti.eu/info/norme/statali/2000_0445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osettiegatti.eu/info/norme/statali/2005_0082.htm" TargetMode="External"/><Relationship Id="rId11" Type="http://schemas.openxmlformats.org/officeDocument/2006/relationships/hyperlink" Target="https://www.bosettiegatti.eu/info/norme/statali/2000_0445.htm" TargetMode="External"/><Relationship Id="rId5" Type="http://schemas.openxmlformats.org/officeDocument/2006/relationships/hyperlink" Target="https://www.bosettiegatti.eu/info/norme/statali/2000_0445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osettiegatti.eu/info/norme/statali/2000_0445.htm" TargetMode="External"/><Relationship Id="rId4" Type="http://schemas.openxmlformats.org/officeDocument/2006/relationships/hyperlink" Target="https://www.bosettiegatti.eu/info/norme/statali/2001_0231.htm" TargetMode="External"/><Relationship Id="rId9" Type="http://schemas.openxmlformats.org/officeDocument/2006/relationships/hyperlink" Target="https://www.bosettiegatti.eu/info/norme/statali/2000_0445.htm" TargetMode="External"/><Relationship Id="rId14" Type="http://schemas.openxmlformats.org/officeDocument/2006/relationships/hyperlink" Target="https://www.bosettiegatti.eu/info/norme/statali/2000_0445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2023-10-12T15:45:00Z</dcterms:created>
  <dcterms:modified xsi:type="dcterms:W3CDTF">2023-10-15T07:26:00Z</dcterms:modified>
</cp:coreProperties>
</file>